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E1" w:rsidRPr="00FF07E1" w:rsidRDefault="00FF07E1" w:rsidP="00FF07E1">
      <w:pPr>
        <w:pStyle w:val="a4"/>
        <w:jc w:val="center"/>
        <w:rPr>
          <w:rFonts w:ascii="Times New Roman" w:hAnsi="Times New Roman" w:cs="Times New Roman"/>
          <w:sz w:val="24"/>
          <w:szCs w:val="24"/>
        </w:rPr>
      </w:pPr>
      <w:r w:rsidRPr="00FF07E1">
        <w:rPr>
          <w:rStyle w:val="s10"/>
          <w:rFonts w:ascii="Times New Roman" w:hAnsi="Times New Roman" w:cs="Times New Roman"/>
          <w:b/>
          <w:bCs/>
          <w:color w:val="464C55"/>
          <w:sz w:val="24"/>
          <w:szCs w:val="24"/>
        </w:rPr>
        <w:t>Снижение числа вредных факторов само по себе не свидетельствует об улучшении условий труда</w:t>
      </w:r>
    </w:p>
    <w:p w:rsidR="00FF07E1" w:rsidRPr="00FF07E1" w:rsidRDefault="00FF07E1" w:rsidP="00FF07E1">
      <w:pPr>
        <w:pStyle w:val="a4"/>
        <w:ind w:firstLine="708"/>
        <w:rPr>
          <w:rFonts w:ascii="Times New Roman" w:hAnsi="Times New Roman" w:cs="Times New Roman"/>
          <w:color w:val="22272F"/>
          <w:sz w:val="24"/>
          <w:szCs w:val="24"/>
        </w:rPr>
      </w:pPr>
      <w:hyperlink r:id="rId4" w:anchor="/document/44015534/entry/0" w:history="1">
        <w:r w:rsidRPr="00FF07E1">
          <w:rPr>
            <w:rStyle w:val="a3"/>
            <w:rFonts w:ascii="Times New Roman" w:hAnsi="Times New Roman" w:cs="Times New Roman"/>
            <w:color w:val="734C9B"/>
            <w:sz w:val="24"/>
            <w:szCs w:val="24"/>
            <w:u w:val="none"/>
          </w:rPr>
          <w:t>Информационный бюллетень апелляционной, кассационной и надзорной практики ... за первый квартал 2018 года (утв. постановлением президиума суда Ненецкого автономного округа от 25.04.2018)</w:t>
        </w:r>
      </w:hyperlink>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 xml:space="preserve">Президиум суда Ненецкого автономного округа включил в обзор практики дело, в рамках которого рассматривался вопрос о правомерности снижения работодателем по результатам </w:t>
      </w:r>
      <w:proofErr w:type="gramStart"/>
      <w:r w:rsidRPr="00FF07E1">
        <w:rPr>
          <w:rFonts w:ascii="Times New Roman" w:hAnsi="Times New Roman" w:cs="Times New Roman"/>
          <w:color w:val="22272F"/>
          <w:sz w:val="24"/>
          <w:szCs w:val="24"/>
        </w:rPr>
        <w:t>проведения специальной оценки условий труда размера выплачиваемой</w:t>
      </w:r>
      <w:proofErr w:type="gramEnd"/>
      <w:r w:rsidRPr="00FF07E1">
        <w:rPr>
          <w:rFonts w:ascii="Times New Roman" w:hAnsi="Times New Roman" w:cs="Times New Roman"/>
          <w:color w:val="22272F"/>
          <w:sz w:val="24"/>
          <w:szCs w:val="24"/>
        </w:rPr>
        <w:t xml:space="preserve"> работнику надбавки за работу во вредных условиях труда.</w:t>
      </w:r>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При приеме на работу в 2008 году работнику была установлена соответствующая надбавка в размере 15%. Условиям труда работника по результатам аттестации рабочего места был присвоен класс 3.3. При этом на рабочем месте было установлено наличие четырех вредных производственных факторов: химического, биологического, тяжесть труда и недостаточность освещения.</w:t>
      </w:r>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В дальнейшем работодатель провел специальную оценку условий труда, по результатам которой класс условий труда остался тем же, однако из вредных факторов был зафиксирован только биологический.</w:t>
      </w:r>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Напомним, что в силу</w:t>
      </w:r>
      <w:r w:rsidRPr="00FF07E1">
        <w:rPr>
          <w:rStyle w:val="apple-converted-space"/>
          <w:rFonts w:ascii="Times New Roman" w:hAnsi="Times New Roman" w:cs="Times New Roman"/>
          <w:color w:val="22272F"/>
          <w:sz w:val="24"/>
          <w:szCs w:val="24"/>
        </w:rPr>
        <w:t> </w:t>
      </w:r>
      <w:hyperlink r:id="rId5" w:anchor="/document/70552680/entry/153" w:history="1">
        <w:r w:rsidRPr="00FF07E1">
          <w:rPr>
            <w:rStyle w:val="a3"/>
            <w:rFonts w:ascii="Times New Roman" w:hAnsi="Times New Roman" w:cs="Times New Roman"/>
            <w:color w:val="734C9B"/>
            <w:sz w:val="24"/>
            <w:szCs w:val="24"/>
            <w:u w:val="none"/>
          </w:rPr>
          <w:t>ч. 3 ст. 15</w:t>
        </w:r>
      </w:hyperlink>
      <w:r w:rsidRPr="00FF07E1">
        <w:rPr>
          <w:rStyle w:val="apple-converted-space"/>
          <w:rFonts w:ascii="Times New Roman" w:hAnsi="Times New Roman" w:cs="Times New Roman"/>
          <w:color w:val="22272F"/>
          <w:sz w:val="24"/>
          <w:szCs w:val="24"/>
        </w:rPr>
        <w:t> </w:t>
      </w:r>
      <w:r w:rsidRPr="00FF07E1">
        <w:rPr>
          <w:rFonts w:ascii="Times New Roman" w:hAnsi="Times New Roman" w:cs="Times New Roman"/>
          <w:color w:val="22272F"/>
          <w:sz w:val="24"/>
          <w:szCs w:val="24"/>
        </w:rPr>
        <w:t xml:space="preserve">Федерального закона от 28.12.2013 N 421-ФЗ при реализации в соответствии с новой редакцией ТК РФ в отношении работников, занятых на работах с вредными и (или) опасными условиями труда, компенсационных мер, направленных на ослабление негативного </w:t>
      </w:r>
      <w:proofErr w:type="gramStart"/>
      <w:r w:rsidRPr="00FF07E1">
        <w:rPr>
          <w:rFonts w:ascii="Times New Roman" w:hAnsi="Times New Roman" w:cs="Times New Roman"/>
          <w:color w:val="22272F"/>
          <w:sz w:val="24"/>
          <w:szCs w:val="24"/>
        </w:rPr>
        <w:t>воздействия</w:t>
      </w:r>
      <w:proofErr w:type="gramEnd"/>
      <w:r w:rsidRPr="00FF07E1">
        <w:rPr>
          <w:rFonts w:ascii="Times New Roman" w:hAnsi="Times New Roman" w:cs="Times New Roman"/>
          <w:color w:val="22272F"/>
          <w:sz w:val="24"/>
          <w:szCs w:val="24"/>
        </w:rPr>
        <w:t xml:space="preserve"> на их здоровье вредных и (или) опасных факторов производственной среды и трудового процесса (сокращенная продолжительность рабочего времени, </w:t>
      </w:r>
      <w:proofErr w:type="gramStart"/>
      <w:r w:rsidRPr="00FF07E1">
        <w:rPr>
          <w:rFonts w:ascii="Times New Roman" w:hAnsi="Times New Roman" w:cs="Times New Roman"/>
          <w:color w:val="22272F"/>
          <w:sz w:val="24"/>
          <w:szCs w:val="24"/>
        </w:rPr>
        <w:t>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1 января 2014 года при условии сохранения соответствующих условий труда на рабочем месте, явившихся основанием</w:t>
      </w:r>
      <w:proofErr w:type="gramEnd"/>
      <w:r w:rsidRPr="00FF07E1">
        <w:rPr>
          <w:rFonts w:ascii="Times New Roman" w:hAnsi="Times New Roman" w:cs="Times New Roman"/>
          <w:color w:val="22272F"/>
          <w:sz w:val="24"/>
          <w:szCs w:val="24"/>
        </w:rPr>
        <w:t xml:space="preserve"> для назначения реализуемых компенсационных мер.</w:t>
      </w:r>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Работодатель полагал, что данная норма не может рассматриваться в качестве препятствия для снижения размера надбавки за работу во вредных условиях труда в данном случае, поскольку имело место изменение условий труда, выразившееся в устранении работодателем ряда вредных факторов на рабочем месте.</w:t>
      </w:r>
    </w:p>
    <w:p w:rsidR="00FF07E1" w:rsidRPr="00FF07E1" w:rsidRDefault="00FF07E1" w:rsidP="00FF07E1">
      <w:pPr>
        <w:pStyle w:val="a4"/>
        <w:ind w:firstLine="708"/>
        <w:rPr>
          <w:rFonts w:ascii="Times New Roman" w:hAnsi="Times New Roman" w:cs="Times New Roman"/>
          <w:color w:val="22272F"/>
          <w:sz w:val="24"/>
          <w:szCs w:val="24"/>
        </w:rPr>
      </w:pPr>
      <w:r w:rsidRPr="00FF07E1">
        <w:rPr>
          <w:rFonts w:ascii="Times New Roman" w:hAnsi="Times New Roman" w:cs="Times New Roman"/>
          <w:color w:val="22272F"/>
          <w:sz w:val="24"/>
          <w:szCs w:val="24"/>
        </w:rPr>
        <w:t>Однако суд с таким подходом не согласился. Как указано в Обзоре, уменьшение гарантий и компенсаций возможно только при улучшении условий труда по результатам специальной оценки условий труда. При этом улучшением условий труда можно считать только уменьшение итогового класса (подкласса) условий труда на рабочем месте работника. Наличие на рабочем месте одного вредного производственного фактора вместо нескольких само по себе не может свидетельствовать об улучшении условий труда работника в целом, если итоговый класс (подкласс) условий его труда не уменьшился.</w:t>
      </w:r>
    </w:p>
    <w:p w:rsidR="00FF07E1" w:rsidRPr="00FF07E1" w:rsidRDefault="00FF07E1" w:rsidP="00FF07E1">
      <w:pPr>
        <w:pStyle w:val="a4"/>
        <w:rPr>
          <w:rFonts w:ascii="Times New Roman" w:hAnsi="Times New Roman" w:cs="Times New Roman"/>
          <w:color w:val="22272F"/>
          <w:sz w:val="24"/>
          <w:szCs w:val="24"/>
        </w:rPr>
      </w:pPr>
      <w:r w:rsidRPr="00FF07E1">
        <w:rPr>
          <w:rFonts w:ascii="Times New Roman" w:hAnsi="Times New Roman" w:cs="Times New Roman"/>
          <w:color w:val="22272F"/>
          <w:sz w:val="24"/>
          <w:szCs w:val="24"/>
        </w:rPr>
        <w:t>Отметим, что из аналогичного понимания термина "улучшение условий труда" исходят и специалисты Минтруда России в письмах</w:t>
      </w:r>
      <w:r w:rsidRPr="00FF07E1">
        <w:rPr>
          <w:rStyle w:val="apple-converted-space"/>
          <w:rFonts w:ascii="Times New Roman" w:hAnsi="Times New Roman" w:cs="Times New Roman"/>
          <w:color w:val="22272F"/>
          <w:sz w:val="24"/>
          <w:szCs w:val="24"/>
        </w:rPr>
        <w:t> </w:t>
      </w:r>
      <w:hyperlink r:id="rId6" w:anchor="/document/71013276/entry/0" w:history="1">
        <w:r w:rsidRPr="00FF07E1">
          <w:rPr>
            <w:rStyle w:val="a3"/>
            <w:rFonts w:ascii="Times New Roman" w:hAnsi="Times New Roman" w:cs="Times New Roman"/>
            <w:color w:val="734C9B"/>
            <w:sz w:val="24"/>
            <w:szCs w:val="24"/>
            <w:u w:val="none"/>
          </w:rPr>
          <w:t>от 15.04.2015 N 15-1/ООГ-2161</w:t>
        </w:r>
      </w:hyperlink>
      <w:r w:rsidRPr="00FF07E1">
        <w:rPr>
          <w:rStyle w:val="apple-converted-space"/>
          <w:rFonts w:ascii="Times New Roman" w:hAnsi="Times New Roman" w:cs="Times New Roman"/>
          <w:color w:val="22272F"/>
          <w:sz w:val="24"/>
          <w:szCs w:val="24"/>
        </w:rPr>
        <w:t> </w:t>
      </w:r>
      <w:r w:rsidRPr="00FF07E1">
        <w:rPr>
          <w:rFonts w:ascii="Times New Roman" w:hAnsi="Times New Roman" w:cs="Times New Roman"/>
          <w:color w:val="22272F"/>
          <w:sz w:val="24"/>
          <w:szCs w:val="24"/>
        </w:rPr>
        <w:t>и</w:t>
      </w:r>
      <w:r w:rsidRPr="00FF07E1">
        <w:rPr>
          <w:rStyle w:val="apple-converted-space"/>
          <w:rFonts w:ascii="Times New Roman" w:hAnsi="Times New Roman" w:cs="Times New Roman"/>
          <w:color w:val="22272F"/>
          <w:sz w:val="24"/>
          <w:szCs w:val="24"/>
        </w:rPr>
        <w:t> </w:t>
      </w:r>
      <w:hyperlink r:id="rId7" w:anchor="/document/71384886/entry/0" w:history="1">
        <w:r w:rsidRPr="00FF07E1">
          <w:rPr>
            <w:rStyle w:val="a3"/>
            <w:rFonts w:ascii="Times New Roman" w:hAnsi="Times New Roman" w:cs="Times New Roman"/>
            <w:color w:val="734C9B"/>
            <w:sz w:val="24"/>
            <w:szCs w:val="24"/>
            <w:u w:val="none"/>
          </w:rPr>
          <w:t>от 26.02.2016 N 15-1/В-601</w:t>
        </w:r>
      </w:hyperlink>
      <w:r w:rsidRPr="00FF07E1">
        <w:rPr>
          <w:rFonts w:ascii="Times New Roman" w:hAnsi="Times New Roman" w:cs="Times New Roman"/>
          <w:color w:val="22272F"/>
          <w:sz w:val="24"/>
          <w:szCs w:val="24"/>
        </w:rPr>
        <w:t>.</w:t>
      </w:r>
    </w:p>
    <w:p w:rsidR="009137F5" w:rsidRDefault="009137F5"/>
    <w:sectPr w:rsidR="009137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FF07E1"/>
    <w:rsid w:val="009137F5"/>
    <w:rsid w:val="00FF0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74">
    <w:name w:val="s_74"/>
    <w:basedOn w:val="a"/>
    <w:rsid w:val="00FF07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F07E1"/>
  </w:style>
  <w:style w:type="paragraph" w:customStyle="1" w:styleId="s1">
    <w:name w:val="s_1"/>
    <w:basedOn w:val="a"/>
    <w:rsid w:val="00FF07E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F07E1"/>
    <w:rPr>
      <w:color w:val="0000FF"/>
      <w:u w:val="single"/>
    </w:rPr>
  </w:style>
  <w:style w:type="character" w:customStyle="1" w:styleId="apple-converted-space">
    <w:name w:val="apple-converted-space"/>
    <w:basedOn w:val="a0"/>
    <w:rsid w:val="00FF07E1"/>
  </w:style>
  <w:style w:type="paragraph" w:styleId="a4">
    <w:name w:val="No Spacing"/>
    <w:uiPriority w:val="1"/>
    <w:qFormat/>
    <w:rsid w:val="00FF07E1"/>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37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5"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2018-05-25T04:22:00Z</dcterms:created>
  <dcterms:modified xsi:type="dcterms:W3CDTF">2018-05-25T04:23:00Z</dcterms:modified>
</cp:coreProperties>
</file>